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44" w:rsidRPr="007F1FA5" w:rsidRDefault="00F11944">
      <w:pPr>
        <w:spacing w:after="0" w:line="100" w:lineRule="atLeast"/>
        <w:jc w:val="both"/>
        <w:rPr>
          <w:rFonts w:asciiTheme="minorHAnsi" w:hAnsiTheme="minorHAnsi" w:cs="Helvetica-Bold"/>
          <w:b/>
          <w:bCs/>
          <w:color w:val="000000"/>
        </w:rPr>
      </w:pPr>
      <w:bookmarkStart w:id="0" w:name="_GoBack"/>
      <w:bookmarkEnd w:id="0"/>
      <w:r w:rsidRPr="007F1FA5">
        <w:rPr>
          <w:rFonts w:asciiTheme="minorHAnsi" w:hAnsiTheme="minorHAnsi" w:cs="Helvetica-Bold"/>
          <w:b/>
          <w:bCs/>
          <w:color w:val="000000"/>
        </w:rPr>
        <w:t>EAA and EAC Joint Working Group on Farming, Forestry and Rural Land Management</w:t>
      </w:r>
    </w:p>
    <w:p w:rsidR="00F11944" w:rsidRPr="007F1FA5" w:rsidRDefault="00F11944">
      <w:pPr>
        <w:spacing w:after="0" w:line="100" w:lineRule="atLeast"/>
        <w:jc w:val="both"/>
        <w:rPr>
          <w:rFonts w:asciiTheme="minorHAnsi" w:hAnsiTheme="minorHAnsi" w:cs="Helvetica-Bold"/>
          <w:b/>
          <w:bCs/>
          <w:color w:val="000000"/>
        </w:rPr>
      </w:pPr>
    </w:p>
    <w:p w:rsidR="00F11944" w:rsidRPr="007F1FA5" w:rsidRDefault="00F11944">
      <w:pPr>
        <w:spacing w:after="0" w:line="100" w:lineRule="atLeast"/>
        <w:jc w:val="both"/>
        <w:rPr>
          <w:rFonts w:asciiTheme="minorHAnsi" w:hAnsiTheme="minorHAnsi" w:cs="Helvetica-Bold"/>
          <w:b/>
          <w:bCs/>
          <w:color w:val="000000"/>
        </w:rPr>
      </w:pPr>
      <w:r w:rsidRPr="007F1FA5">
        <w:rPr>
          <w:rFonts w:asciiTheme="minorHAnsi" w:hAnsiTheme="minorHAnsi" w:cs="Helvetica-Bold"/>
          <w:b/>
          <w:bCs/>
          <w:color w:val="000000"/>
        </w:rPr>
        <w:t>Progress Report: March 201</w:t>
      </w:r>
      <w:r w:rsidR="008C3E0E">
        <w:rPr>
          <w:rFonts w:asciiTheme="minorHAnsi" w:hAnsiTheme="minorHAnsi" w:cs="Helvetica-Bold"/>
          <w:b/>
          <w:bCs/>
          <w:color w:val="000000"/>
        </w:rPr>
        <w:t>6</w:t>
      </w:r>
    </w:p>
    <w:p w:rsidR="00F11944" w:rsidRPr="007F1FA5" w:rsidRDefault="00F11944">
      <w:pPr>
        <w:spacing w:after="0" w:line="100" w:lineRule="atLeast"/>
        <w:jc w:val="both"/>
        <w:rPr>
          <w:rFonts w:asciiTheme="minorHAnsi" w:hAnsiTheme="minorHAnsi" w:cs="Helvetica-Bold"/>
          <w:b/>
          <w:bCs/>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color w:val="000000"/>
        </w:rPr>
        <w:t>The Working Group, originally organised under the aegis of the European Association of Archaeologists (EAA) became a joint Working Group of EAC and EAA in March 2009.  This report covers the work of the joint group during 201</w:t>
      </w:r>
      <w:r w:rsidR="008C3E0E">
        <w:rPr>
          <w:rFonts w:asciiTheme="minorHAnsi" w:hAnsiTheme="minorHAnsi"/>
          <w:color w:val="000000"/>
        </w:rPr>
        <w:t>5</w:t>
      </w:r>
      <w:r w:rsidRPr="007F1FA5">
        <w:rPr>
          <w:rFonts w:asciiTheme="minorHAnsi" w:hAnsiTheme="minorHAnsi"/>
          <w:color w:val="000000"/>
        </w:rPr>
        <w:t>-1</w:t>
      </w:r>
      <w:r w:rsidR="008C3E0E">
        <w:rPr>
          <w:rFonts w:asciiTheme="minorHAnsi" w:hAnsiTheme="minorHAnsi"/>
          <w:color w:val="000000"/>
        </w:rPr>
        <w:t>6</w:t>
      </w:r>
      <w:r w:rsidRPr="007F1FA5">
        <w:rPr>
          <w:rFonts w:asciiTheme="minorHAnsi" w:hAnsiTheme="minorHAnsi"/>
          <w:color w:val="000000"/>
        </w:rPr>
        <w:t xml:space="preserve">.  </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b/>
          <w:bCs/>
          <w:color w:val="000000"/>
          <w:u w:val="single"/>
        </w:rPr>
        <w:t>Background</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color w:val="000000"/>
        </w:rPr>
        <w:t>The Working Group has identified rural land uses (most notably agriculture and forestry) as amongst the most destructive of processes acting on the archaeological historical landscape in Europe.  It is a particular concern that these processes, in contrast to construction and development, have few or no established mechanisms for archaeological impact assessment, avoidance or mitigation.</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b/>
          <w:bCs/>
          <w:color w:val="000000"/>
          <w:u w:val="single"/>
        </w:rPr>
      </w:pPr>
      <w:r w:rsidRPr="007F1FA5">
        <w:rPr>
          <w:rFonts w:asciiTheme="minorHAnsi" w:hAnsiTheme="minorHAnsi"/>
          <w:b/>
          <w:bCs/>
          <w:color w:val="000000"/>
          <w:u w:val="single"/>
        </w:rPr>
        <w:t>Membership</w:t>
      </w:r>
    </w:p>
    <w:p w:rsidR="00F11944" w:rsidRPr="007F1FA5" w:rsidRDefault="00F11944">
      <w:pPr>
        <w:spacing w:after="0" w:line="100" w:lineRule="atLeast"/>
        <w:jc w:val="both"/>
        <w:rPr>
          <w:rFonts w:asciiTheme="minorHAnsi" w:hAnsiTheme="minorHAnsi"/>
          <w:b/>
          <w:bCs/>
          <w:color w:val="000000"/>
          <w:u w:val="single"/>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color w:val="000000"/>
        </w:rPr>
        <w:t>The group continues to reach new professional archaeologists interested in the interface between archaeological heritage management, landscape, rural land use and nature conservation. Group membership is now almost</w:t>
      </w:r>
      <w:r w:rsidR="00EF5D98">
        <w:rPr>
          <w:rFonts w:asciiTheme="minorHAnsi" w:hAnsiTheme="minorHAnsi"/>
          <w:color w:val="000000"/>
        </w:rPr>
        <w:t xml:space="preserve"> 50</w:t>
      </w:r>
      <w:r w:rsidRPr="007F1FA5">
        <w:rPr>
          <w:rFonts w:asciiTheme="minorHAnsi" w:hAnsiTheme="minorHAnsi"/>
          <w:color w:val="000000"/>
        </w:rPr>
        <w:t xml:space="preserve"> participants or correspondents, representing 1</w:t>
      </w:r>
      <w:r w:rsidR="00EF5D98">
        <w:rPr>
          <w:rFonts w:asciiTheme="minorHAnsi" w:hAnsiTheme="minorHAnsi"/>
          <w:color w:val="000000"/>
        </w:rPr>
        <w:t>9</w:t>
      </w:r>
      <w:r w:rsidRPr="007F1FA5">
        <w:rPr>
          <w:rStyle w:val="Voetnootmarkering"/>
          <w:rFonts w:asciiTheme="minorHAnsi" w:hAnsiTheme="minorHAnsi"/>
        </w:rPr>
        <w:footnoteReference w:id="1"/>
      </w:r>
      <w:r w:rsidRPr="007F1FA5">
        <w:rPr>
          <w:rFonts w:asciiTheme="minorHAnsi" w:hAnsiTheme="minorHAnsi"/>
          <w:color w:val="000000"/>
        </w:rPr>
        <w:t xml:space="preserve"> countries. </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rPr>
      </w:pPr>
      <w:r w:rsidRPr="007F1FA5">
        <w:rPr>
          <w:rFonts w:asciiTheme="minorHAnsi" w:hAnsiTheme="minorHAnsi"/>
          <w:color w:val="000000"/>
        </w:rPr>
        <w:t xml:space="preserve">  </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b/>
          <w:bCs/>
          <w:color w:val="000000"/>
          <w:u w:val="single"/>
        </w:rPr>
        <w:t>Business meeting 201</w:t>
      </w:r>
      <w:r w:rsidR="008C3E0E">
        <w:rPr>
          <w:rFonts w:asciiTheme="minorHAnsi" w:hAnsiTheme="minorHAnsi"/>
          <w:b/>
          <w:bCs/>
          <w:color w:val="000000"/>
          <w:u w:val="single"/>
        </w:rPr>
        <w:t>5</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color w:val="000000"/>
        </w:rPr>
        <w:t>The 201</w:t>
      </w:r>
      <w:r w:rsidR="008C3E0E">
        <w:rPr>
          <w:rFonts w:asciiTheme="minorHAnsi" w:hAnsiTheme="minorHAnsi"/>
          <w:color w:val="000000"/>
        </w:rPr>
        <w:t>5</w:t>
      </w:r>
      <w:r w:rsidRPr="007F1FA5">
        <w:rPr>
          <w:rFonts w:asciiTheme="minorHAnsi" w:hAnsiTheme="minorHAnsi"/>
          <w:color w:val="000000"/>
        </w:rPr>
        <w:t xml:space="preserve"> annual business meeting of the Working Group was held </w:t>
      </w:r>
      <w:r w:rsidR="008C3E0E">
        <w:rPr>
          <w:rFonts w:asciiTheme="minorHAnsi" w:hAnsiTheme="minorHAnsi"/>
          <w:color w:val="000000"/>
        </w:rPr>
        <w:t>in the margins of 2015</w:t>
      </w:r>
      <w:r w:rsidRPr="007F1FA5">
        <w:rPr>
          <w:rFonts w:asciiTheme="minorHAnsi" w:hAnsiTheme="minorHAnsi"/>
          <w:color w:val="000000"/>
        </w:rPr>
        <w:t xml:space="preserve"> EAA conference in </w:t>
      </w:r>
      <w:r w:rsidR="008C3E0E">
        <w:rPr>
          <w:rFonts w:asciiTheme="minorHAnsi" w:hAnsiTheme="minorHAnsi"/>
          <w:color w:val="000000"/>
        </w:rPr>
        <w:t>Glasgow</w:t>
      </w:r>
      <w:r w:rsidRPr="007F1FA5">
        <w:rPr>
          <w:rFonts w:asciiTheme="minorHAnsi" w:hAnsiTheme="minorHAnsi"/>
          <w:color w:val="000000"/>
        </w:rPr>
        <w:t>. Karl Cordemans (Flemish Land Agency) was confirmed as Chair of the Working Group.</w:t>
      </w:r>
      <w:r w:rsidR="008C3E0E">
        <w:rPr>
          <w:rFonts w:asciiTheme="minorHAnsi" w:hAnsiTheme="minorHAnsi"/>
          <w:color w:val="000000"/>
        </w:rPr>
        <w:t xml:space="preserve"> </w:t>
      </w:r>
      <w:r w:rsidRPr="007F1FA5">
        <w:rPr>
          <w:rFonts w:asciiTheme="minorHAnsi" w:hAnsiTheme="minorHAnsi"/>
          <w:color w:val="000000"/>
        </w:rPr>
        <w:t xml:space="preserve">Vince Holyoak (Head of National Rural and Environmental Advice, English Heritage) stays on as Vice-Chair of the Group with responsibility for its position </w:t>
      </w:r>
      <w:r w:rsidR="008C3E0E">
        <w:rPr>
          <w:rFonts w:asciiTheme="minorHAnsi" w:hAnsiTheme="minorHAnsi"/>
          <w:color w:val="000000"/>
        </w:rPr>
        <w:t xml:space="preserve">on agriculture / CAP reform. </w:t>
      </w:r>
      <w:proofErr w:type="spellStart"/>
      <w:r w:rsidR="008C3E0E">
        <w:rPr>
          <w:rFonts w:asciiTheme="minorHAnsi" w:hAnsiTheme="minorHAnsi"/>
          <w:color w:val="000000"/>
        </w:rPr>
        <w:t>Riika</w:t>
      </w:r>
      <w:proofErr w:type="spellEnd"/>
      <w:r w:rsidR="008C3E0E">
        <w:rPr>
          <w:rFonts w:asciiTheme="minorHAnsi" w:hAnsiTheme="minorHAnsi"/>
          <w:color w:val="000000"/>
        </w:rPr>
        <w:t xml:space="preserve"> </w:t>
      </w:r>
      <w:proofErr w:type="spellStart"/>
      <w:r w:rsidR="008C3E0E">
        <w:rPr>
          <w:rFonts w:asciiTheme="minorHAnsi" w:hAnsiTheme="minorHAnsi"/>
          <w:color w:val="000000"/>
        </w:rPr>
        <w:t>Mustonen</w:t>
      </w:r>
      <w:proofErr w:type="spellEnd"/>
      <w:r w:rsidR="008C3E0E">
        <w:rPr>
          <w:rFonts w:asciiTheme="minorHAnsi" w:hAnsiTheme="minorHAnsi"/>
          <w:color w:val="000000"/>
        </w:rPr>
        <w:t xml:space="preserve"> of Finland will succeed </w:t>
      </w:r>
      <w:r w:rsidRPr="007F1FA5">
        <w:rPr>
          <w:rFonts w:asciiTheme="minorHAnsi" w:hAnsiTheme="minorHAnsi"/>
          <w:color w:val="000000"/>
        </w:rPr>
        <w:t xml:space="preserve">Emmet Byrnes as Vice-Chair responsible for Forestry matters. </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color w:val="000000"/>
        </w:rPr>
        <w:t>The Chair and Vice Chair positions are on the agenda for discussion at each yearly business meeting.</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color w:val="000000"/>
        </w:rPr>
        <w:t>Members present gave an update on the situation in their country. Recent relevant developments regarding heritage and agriculture &amp; forestry were discussed.</w:t>
      </w:r>
      <w:r w:rsidR="008C3E0E">
        <w:rPr>
          <w:rFonts w:asciiTheme="minorHAnsi" w:hAnsiTheme="minorHAnsi"/>
          <w:color w:val="000000"/>
        </w:rPr>
        <w:t xml:space="preserve"> We agreed to try to organise a new session on EAA 2016 Vilnius. We discussed the possibilities of strengthening our working. A European project would be perfect for this, considering the main focus of the working group is to defend the archaeological heritage in a global European agricultural context. The problem is that the available frameworks are not easily applicable </w:t>
      </w:r>
      <w:r w:rsidR="00CE4E29">
        <w:rPr>
          <w:rFonts w:asciiTheme="minorHAnsi" w:hAnsiTheme="minorHAnsi"/>
          <w:color w:val="000000"/>
        </w:rPr>
        <w:t xml:space="preserve">for our goals and what’s </w:t>
      </w:r>
      <w:r w:rsidR="00CE4E29">
        <w:rPr>
          <w:rFonts w:asciiTheme="minorHAnsi" w:hAnsiTheme="minorHAnsi"/>
          <w:color w:val="000000"/>
        </w:rPr>
        <w:lastRenderedPageBreak/>
        <w:t xml:space="preserve">more important that nobody has time to develop this. We agree that we continue to monitor all developments and will try to make a bid if there is a suitable opportunity. </w:t>
      </w:r>
      <w:r w:rsidR="008C3E0E">
        <w:rPr>
          <w:rFonts w:asciiTheme="minorHAnsi" w:hAnsiTheme="minorHAnsi"/>
          <w:color w:val="000000"/>
        </w:rPr>
        <w:t>The website needs an update too.</w:t>
      </w:r>
    </w:p>
    <w:p w:rsidR="00F11944" w:rsidRPr="007F1FA5" w:rsidRDefault="00F11944">
      <w:pPr>
        <w:spacing w:after="0" w:line="100" w:lineRule="atLeast"/>
        <w:jc w:val="both"/>
        <w:rPr>
          <w:rFonts w:asciiTheme="minorHAnsi" w:hAnsiTheme="minorHAnsi"/>
          <w:color w:val="000000"/>
        </w:rPr>
      </w:pPr>
    </w:p>
    <w:p w:rsidR="00F11944" w:rsidRPr="007F1FA5" w:rsidRDefault="00F11944">
      <w:pPr>
        <w:spacing w:after="0" w:line="100" w:lineRule="atLeast"/>
        <w:jc w:val="both"/>
        <w:rPr>
          <w:rFonts w:asciiTheme="minorHAnsi" w:hAnsiTheme="minorHAnsi"/>
          <w:b/>
          <w:bCs/>
          <w:color w:val="000000"/>
          <w:u w:val="single"/>
        </w:rPr>
      </w:pPr>
    </w:p>
    <w:p w:rsidR="00F11944" w:rsidRPr="007F1FA5" w:rsidRDefault="00F11944">
      <w:pPr>
        <w:spacing w:after="0" w:line="100" w:lineRule="atLeast"/>
        <w:jc w:val="both"/>
        <w:rPr>
          <w:rFonts w:asciiTheme="minorHAnsi" w:hAnsiTheme="minorHAnsi"/>
          <w:b/>
          <w:bCs/>
          <w:color w:val="000000"/>
          <w:u w:val="single"/>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b/>
          <w:bCs/>
          <w:color w:val="000000"/>
          <w:u w:val="single"/>
        </w:rPr>
        <w:t>Developments in relation to the Common Agricultural Policy and Forestry</w:t>
      </w:r>
    </w:p>
    <w:p w:rsidR="00F11944" w:rsidRPr="007F1FA5" w:rsidRDefault="00F11944">
      <w:pPr>
        <w:spacing w:after="0" w:line="100" w:lineRule="atLeast"/>
        <w:jc w:val="both"/>
        <w:rPr>
          <w:rFonts w:asciiTheme="minorHAnsi" w:hAnsiTheme="minorHAnsi"/>
          <w:color w:val="000000"/>
        </w:rPr>
      </w:pPr>
    </w:p>
    <w:p w:rsidR="00F11944" w:rsidRPr="007F1FA5" w:rsidRDefault="00CE4E29" w:rsidP="00237FF7">
      <w:pPr>
        <w:jc w:val="both"/>
        <w:rPr>
          <w:rFonts w:asciiTheme="minorHAnsi" w:hAnsiTheme="minorHAnsi" w:cs="Arial"/>
          <w:color w:val="000000"/>
          <w:lang w:val="en-IE"/>
        </w:rPr>
      </w:pPr>
      <w:r>
        <w:rPr>
          <w:rFonts w:asciiTheme="minorHAnsi" w:hAnsiTheme="minorHAnsi" w:cs="Arial"/>
          <w:color w:val="000000"/>
          <w:lang w:val="en-IE"/>
        </w:rPr>
        <w:t>In 2014, m</w:t>
      </w:r>
      <w:r w:rsidR="00F11944" w:rsidRPr="00237FF7">
        <w:rPr>
          <w:rFonts w:asciiTheme="minorHAnsi" w:hAnsiTheme="minorHAnsi" w:cs="Arial"/>
          <w:color w:val="000000"/>
          <w:lang w:val="en-IE"/>
        </w:rPr>
        <w:t xml:space="preserve">ost activities and energy of working group members was focused on the developments in their </w:t>
      </w:r>
      <w:r w:rsidR="00F11944" w:rsidRPr="007F1FA5">
        <w:rPr>
          <w:rFonts w:asciiTheme="minorHAnsi" w:hAnsiTheme="minorHAnsi" w:cs="Arial"/>
          <w:color w:val="000000"/>
          <w:lang w:val="en-IE"/>
        </w:rPr>
        <w:t xml:space="preserve">respective countries regarding the operationalisation of the heritage stewardship schemes within the new established Rural Development plan 2015-2020. </w:t>
      </w:r>
      <w:r>
        <w:rPr>
          <w:rFonts w:asciiTheme="minorHAnsi" w:hAnsiTheme="minorHAnsi" w:cs="Arial"/>
          <w:color w:val="000000"/>
          <w:lang w:val="en-IE"/>
        </w:rPr>
        <w:t>In 2015 focus shifted to the monitoring of the delivered results and possible adaptations of measures.</w:t>
      </w:r>
    </w:p>
    <w:p w:rsidR="00F11944" w:rsidRPr="007F1FA5" w:rsidRDefault="00F11944">
      <w:pPr>
        <w:jc w:val="both"/>
        <w:rPr>
          <w:rFonts w:asciiTheme="minorHAnsi" w:hAnsiTheme="minorHAnsi" w:cs="Arial"/>
          <w:color w:val="000000"/>
          <w:lang w:val="en-IE"/>
        </w:rPr>
      </w:pPr>
    </w:p>
    <w:p w:rsidR="00BC4F30" w:rsidRPr="007F1FA5" w:rsidRDefault="00BC4F30">
      <w:pPr>
        <w:spacing w:after="0" w:line="100" w:lineRule="atLeast"/>
        <w:jc w:val="both"/>
        <w:rPr>
          <w:rFonts w:asciiTheme="minorHAnsi" w:hAnsiTheme="minorHAnsi" w:cs="Arial"/>
          <w:color w:val="000000"/>
          <w:lang w:val="en-IE"/>
        </w:rPr>
      </w:pPr>
    </w:p>
    <w:p w:rsidR="00F11944" w:rsidRPr="007F1FA5" w:rsidRDefault="00F11944">
      <w:pPr>
        <w:spacing w:after="0" w:line="100" w:lineRule="atLeast"/>
        <w:jc w:val="both"/>
        <w:rPr>
          <w:rFonts w:asciiTheme="minorHAnsi" w:hAnsiTheme="minorHAnsi"/>
          <w:color w:val="000000"/>
        </w:rPr>
      </w:pPr>
      <w:r w:rsidRPr="007F1FA5">
        <w:rPr>
          <w:rFonts w:asciiTheme="minorHAnsi" w:hAnsiTheme="minorHAnsi"/>
          <w:b/>
          <w:bCs/>
          <w:color w:val="000000"/>
          <w:u w:val="single"/>
        </w:rPr>
        <w:t>EAA Conference session 201</w:t>
      </w:r>
      <w:r w:rsidR="006824C9">
        <w:rPr>
          <w:rFonts w:asciiTheme="minorHAnsi" w:hAnsiTheme="minorHAnsi"/>
          <w:b/>
          <w:bCs/>
          <w:color w:val="000000"/>
          <w:u w:val="single"/>
        </w:rPr>
        <w:t>5</w:t>
      </w:r>
    </w:p>
    <w:p w:rsidR="00F11944" w:rsidRPr="007F1FA5" w:rsidRDefault="00F11944">
      <w:pPr>
        <w:spacing w:after="0" w:line="100" w:lineRule="atLeast"/>
        <w:jc w:val="both"/>
        <w:rPr>
          <w:rFonts w:asciiTheme="minorHAnsi" w:hAnsiTheme="minorHAnsi"/>
          <w:color w:val="000000"/>
        </w:rPr>
      </w:pPr>
    </w:p>
    <w:p w:rsidR="00F11944" w:rsidRPr="007F1FA5" w:rsidRDefault="006824C9" w:rsidP="007F1FA5">
      <w:pPr>
        <w:spacing w:line="288" w:lineRule="auto"/>
        <w:jc w:val="both"/>
        <w:rPr>
          <w:rFonts w:asciiTheme="minorHAnsi" w:hAnsiTheme="minorHAnsi"/>
        </w:rPr>
      </w:pPr>
      <w:r>
        <w:rPr>
          <w:rFonts w:asciiTheme="minorHAnsi" w:hAnsiTheme="minorHAnsi"/>
        </w:rPr>
        <w:t>On the</w:t>
      </w:r>
      <w:r w:rsidR="00F11944" w:rsidRPr="007F1FA5">
        <w:rPr>
          <w:rFonts w:asciiTheme="minorHAnsi" w:hAnsiTheme="minorHAnsi"/>
        </w:rPr>
        <w:t xml:space="preserve"> EAA Annual Meeting held in Glasgow, UK, the working group </w:t>
      </w:r>
      <w:r w:rsidR="00237FF7">
        <w:rPr>
          <w:rFonts w:asciiTheme="minorHAnsi" w:hAnsiTheme="minorHAnsi"/>
        </w:rPr>
        <w:t>organised</w:t>
      </w:r>
      <w:r w:rsidR="00F11944" w:rsidRPr="007F1FA5">
        <w:rPr>
          <w:rFonts w:asciiTheme="minorHAnsi" w:hAnsiTheme="minorHAnsi"/>
        </w:rPr>
        <w:t xml:space="preserve"> two Round Tables. </w:t>
      </w:r>
    </w:p>
    <w:p w:rsidR="00F11944" w:rsidRPr="007F1FA5" w:rsidRDefault="00F11944" w:rsidP="007F1FA5">
      <w:pPr>
        <w:spacing w:line="288" w:lineRule="auto"/>
        <w:jc w:val="both"/>
        <w:rPr>
          <w:rFonts w:asciiTheme="minorHAnsi" w:hAnsiTheme="minorHAnsi"/>
        </w:rPr>
      </w:pPr>
      <w:r w:rsidRPr="007F1FA5">
        <w:rPr>
          <w:rFonts w:asciiTheme="minorHAnsi" w:hAnsiTheme="minorHAnsi"/>
        </w:rPr>
        <w:t xml:space="preserve">The first one </w:t>
      </w:r>
      <w:r w:rsidR="006824C9">
        <w:rPr>
          <w:rFonts w:asciiTheme="minorHAnsi" w:hAnsiTheme="minorHAnsi"/>
        </w:rPr>
        <w:t>wa</w:t>
      </w:r>
      <w:r w:rsidR="00237FF7">
        <w:rPr>
          <w:rFonts w:asciiTheme="minorHAnsi" w:hAnsiTheme="minorHAnsi"/>
        </w:rPr>
        <w:t>s</w:t>
      </w:r>
      <w:r w:rsidRPr="007F1FA5">
        <w:rPr>
          <w:rFonts w:asciiTheme="minorHAnsi" w:hAnsiTheme="minorHAnsi"/>
        </w:rPr>
        <w:t xml:space="preserve"> organised by Jonathan Wordsworth and Karl Cordemans and </w:t>
      </w:r>
      <w:r w:rsidR="006824C9">
        <w:rPr>
          <w:rFonts w:asciiTheme="minorHAnsi" w:hAnsiTheme="minorHAnsi"/>
        </w:rPr>
        <w:t>wa</w:t>
      </w:r>
      <w:r w:rsidRPr="007F1FA5">
        <w:rPr>
          <w:rFonts w:asciiTheme="minorHAnsi" w:hAnsiTheme="minorHAnsi"/>
        </w:rPr>
        <w:t xml:space="preserve">s called </w:t>
      </w:r>
      <w:r w:rsidRPr="007F1FA5">
        <w:rPr>
          <w:rFonts w:asciiTheme="minorHAnsi" w:hAnsiTheme="minorHAnsi"/>
          <w:b/>
        </w:rPr>
        <w:t>Archaeology at rural crossroads; towards an integrated approach to Archaeological Heritage Management</w:t>
      </w:r>
      <w:r w:rsidRPr="007F1FA5">
        <w:rPr>
          <w:rFonts w:asciiTheme="minorHAnsi" w:hAnsiTheme="minorHAnsi"/>
        </w:rPr>
        <w:t xml:space="preserve">. The programme </w:t>
      </w:r>
      <w:r w:rsidR="006824C9">
        <w:rPr>
          <w:rFonts w:asciiTheme="minorHAnsi" w:hAnsiTheme="minorHAnsi"/>
        </w:rPr>
        <w:t>was very interesting and the round table was well attended</w:t>
      </w:r>
      <w:r w:rsidRPr="007F1FA5">
        <w:rPr>
          <w:rFonts w:asciiTheme="minorHAnsi" w:hAnsiTheme="minorHAnsi"/>
        </w:rPr>
        <w:t>:</w:t>
      </w:r>
    </w:p>
    <w:p w:rsidR="00EF5D98" w:rsidRPr="00EF5D98" w:rsidRDefault="00EF5D98" w:rsidP="006B1978">
      <w:pPr>
        <w:pStyle w:val="Lijstalinea"/>
        <w:numPr>
          <w:ilvl w:val="0"/>
          <w:numId w:val="3"/>
        </w:numPr>
        <w:rPr>
          <w:rFonts w:asciiTheme="minorHAnsi" w:hAnsiTheme="minorHAnsi" w:cs="Arial"/>
          <w:i/>
          <w:color w:val="000000"/>
        </w:rPr>
      </w:pPr>
      <w:r w:rsidRPr="00EF5D98">
        <w:rPr>
          <w:rFonts w:asciiTheme="minorHAnsi" w:hAnsiTheme="minorHAnsi" w:cs="Arial"/>
          <w:color w:val="000000"/>
        </w:rPr>
        <w:t>ARCHAEOLOGY IN HIGH NATURE VALUE LANDSCAPES - OPPORTUNITIES AND CHALLENGES (Christine Grant DEPT. OF ARTS, HERITAGE AND THE GAELTACHT)</w:t>
      </w:r>
      <w:r w:rsidRPr="00EF5D98">
        <w:rPr>
          <w:rFonts w:asciiTheme="minorHAnsi" w:hAnsiTheme="minorHAnsi" w:cs="Arial"/>
          <w:i/>
          <w:color w:val="000000"/>
        </w:rPr>
        <w:t xml:space="preserve">  </w:t>
      </w:r>
    </w:p>
    <w:p w:rsidR="00EF5D98" w:rsidRPr="00EF5D98" w:rsidRDefault="00EF5D98" w:rsidP="00EF5D98">
      <w:pPr>
        <w:pStyle w:val="Lijstalinea"/>
        <w:numPr>
          <w:ilvl w:val="0"/>
          <w:numId w:val="3"/>
        </w:numPr>
        <w:rPr>
          <w:rFonts w:asciiTheme="minorHAnsi" w:hAnsiTheme="minorHAnsi" w:cs="Arial"/>
          <w:color w:val="000000"/>
        </w:rPr>
      </w:pPr>
      <w:r w:rsidRPr="00EF5D98">
        <w:rPr>
          <w:rFonts w:asciiTheme="minorHAnsi" w:hAnsiTheme="minorHAnsi" w:cs="Arial"/>
          <w:color w:val="000000"/>
        </w:rPr>
        <w:t>FOLLOWING IN THE WAKE OF CANUTE: A PERSPECTIVE FROM THE NEW FOREST NATIONAL PARK (Frank Green NEW FOREST NATIONAL PARK AUTHORITY)</w:t>
      </w:r>
    </w:p>
    <w:p w:rsidR="00EF5D98" w:rsidRPr="00EF5D98" w:rsidRDefault="00EF5D98" w:rsidP="00807A64">
      <w:pPr>
        <w:pStyle w:val="Lijstalinea"/>
        <w:numPr>
          <w:ilvl w:val="0"/>
          <w:numId w:val="3"/>
        </w:numPr>
        <w:rPr>
          <w:rFonts w:asciiTheme="minorHAnsi" w:hAnsiTheme="minorHAnsi" w:cs="Arial"/>
          <w:color w:val="000000"/>
        </w:rPr>
      </w:pPr>
      <w:r w:rsidRPr="00EF5D98">
        <w:rPr>
          <w:rFonts w:asciiTheme="minorHAnsi" w:hAnsiTheme="minorHAnsi" w:cs="Arial"/>
          <w:color w:val="000000"/>
        </w:rPr>
        <w:t>LOST LEGACIES: THE DIMINISHING RESOURCE OF ORKNEY’S COASTAL HERITAGE</w:t>
      </w:r>
      <w:r>
        <w:rPr>
          <w:rFonts w:asciiTheme="minorHAnsi" w:hAnsiTheme="minorHAnsi" w:cs="Arial"/>
          <w:color w:val="000000"/>
        </w:rPr>
        <w:t xml:space="preserve"> </w:t>
      </w:r>
      <w:r w:rsidRPr="00EF5D98">
        <w:rPr>
          <w:rFonts w:asciiTheme="minorHAnsi" w:hAnsiTheme="minorHAnsi" w:cs="Arial"/>
          <w:color w:val="000000"/>
        </w:rPr>
        <w:t>(Julie Gibson ORKNEY ISLANDS COUNCIL/UHI ORKNEY)</w:t>
      </w:r>
    </w:p>
    <w:p w:rsidR="00EF5D98" w:rsidRPr="00EF5D98" w:rsidRDefault="00EF5D98" w:rsidP="00EF5D98">
      <w:pPr>
        <w:pStyle w:val="Lijstalinea"/>
        <w:numPr>
          <w:ilvl w:val="0"/>
          <w:numId w:val="3"/>
        </w:numPr>
        <w:rPr>
          <w:rFonts w:asciiTheme="minorHAnsi" w:hAnsiTheme="minorHAnsi" w:cs="Arial"/>
          <w:i/>
          <w:color w:val="000000"/>
        </w:rPr>
      </w:pPr>
      <w:r w:rsidRPr="00EF5D98">
        <w:rPr>
          <w:rFonts w:asciiTheme="minorHAnsi" w:hAnsiTheme="minorHAnsi" w:cs="Arial"/>
          <w:color w:val="000000"/>
        </w:rPr>
        <w:t>METAL ARTEFACT DECAY AND THE BURIAL ENVIRONMENT: THE EFFECT OF LAND USE ON BURIED HERITAGE (Samantha Rowe UNIVERSITY HUDDERSFIELD)</w:t>
      </w:r>
    </w:p>
    <w:p w:rsidR="00EF5D98" w:rsidRPr="00EF5D98" w:rsidRDefault="00EF5D98" w:rsidP="006410CB">
      <w:pPr>
        <w:pStyle w:val="Lijstalinea"/>
        <w:numPr>
          <w:ilvl w:val="0"/>
          <w:numId w:val="3"/>
        </w:numPr>
        <w:rPr>
          <w:rFonts w:asciiTheme="minorHAnsi" w:hAnsiTheme="minorHAnsi" w:cs="Arial"/>
          <w:color w:val="000000"/>
        </w:rPr>
      </w:pPr>
      <w:r w:rsidRPr="00EF5D98">
        <w:rPr>
          <w:rFonts w:asciiTheme="minorHAnsi" w:hAnsiTheme="minorHAnsi" w:cs="Arial"/>
          <w:color w:val="000000"/>
        </w:rPr>
        <w:t xml:space="preserve">THE RURAL DEVELOPMENT PROGRAMME FOR ENGLAND 2015-2020 (Amanda </w:t>
      </w:r>
      <w:proofErr w:type="spellStart"/>
      <w:r w:rsidRPr="00EF5D98">
        <w:rPr>
          <w:rFonts w:asciiTheme="minorHAnsi" w:hAnsiTheme="minorHAnsi" w:cs="Arial"/>
          <w:color w:val="000000"/>
        </w:rPr>
        <w:t>Chadburn</w:t>
      </w:r>
      <w:proofErr w:type="spellEnd"/>
      <w:r w:rsidRPr="00EF5D98">
        <w:rPr>
          <w:rFonts w:asciiTheme="minorHAnsi" w:hAnsiTheme="minorHAnsi" w:cs="Arial"/>
          <w:color w:val="000000"/>
        </w:rPr>
        <w:t xml:space="preserve">/Vince </w:t>
      </w:r>
      <w:proofErr w:type="spellStart"/>
      <w:r w:rsidRPr="00EF5D98">
        <w:rPr>
          <w:rFonts w:asciiTheme="minorHAnsi" w:hAnsiTheme="minorHAnsi" w:cs="Arial"/>
          <w:color w:val="000000"/>
        </w:rPr>
        <w:t>Holyoak</w:t>
      </w:r>
      <w:proofErr w:type="spellEnd"/>
      <w:r w:rsidRPr="00EF5D98">
        <w:rPr>
          <w:rFonts w:asciiTheme="minorHAnsi" w:hAnsiTheme="minorHAnsi" w:cs="Arial"/>
          <w:color w:val="000000"/>
        </w:rPr>
        <w:t xml:space="preserve"> HISTORIC ENGLAND)</w:t>
      </w:r>
    </w:p>
    <w:p w:rsidR="00EF5D98" w:rsidRPr="00EF5D98" w:rsidRDefault="00EF5D98" w:rsidP="00EF5D98">
      <w:pPr>
        <w:pStyle w:val="Lijstalinea"/>
        <w:numPr>
          <w:ilvl w:val="0"/>
          <w:numId w:val="3"/>
        </w:numPr>
        <w:rPr>
          <w:rFonts w:asciiTheme="minorHAnsi" w:hAnsiTheme="minorHAnsi" w:cs="Arial"/>
          <w:color w:val="000000"/>
        </w:rPr>
      </w:pPr>
      <w:r w:rsidRPr="00EF5D98">
        <w:rPr>
          <w:rFonts w:asciiTheme="minorHAnsi" w:hAnsiTheme="minorHAnsi" w:cs="Arial"/>
          <w:color w:val="000000"/>
        </w:rPr>
        <w:t>Discussion</w:t>
      </w:r>
    </w:p>
    <w:p w:rsidR="00F11944" w:rsidRPr="007F1FA5" w:rsidRDefault="00F11944" w:rsidP="00EF5D98">
      <w:pPr>
        <w:rPr>
          <w:rFonts w:asciiTheme="minorHAnsi" w:hAnsiTheme="minorHAnsi"/>
        </w:rPr>
      </w:pPr>
      <w:r w:rsidRPr="007F1FA5">
        <w:rPr>
          <w:rFonts w:asciiTheme="minorHAnsi" w:hAnsiTheme="minorHAnsi"/>
        </w:rPr>
        <w:t xml:space="preserve">The second one </w:t>
      </w:r>
      <w:r w:rsidR="00237FF7">
        <w:rPr>
          <w:rFonts w:asciiTheme="minorHAnsi" w:hAnsiTheme="minorHAnsi"/>
        </w:rPr>
        <w:t>was supposed to be</w:t>
      </w:r>
      <w:r w:rsidR="00237FF7" w:rsidRPr="007F1FA5">
        <w:rPr>
          <w:rFonts w:asciiTheme="minorHAnsi" w:hAnsiTheme="minorHAnsi"/>
        </w:rPr>
        <w:t xml:space="preserve"> </w:t>
      </w:r>
      <w:r w:rsidRPr="007F1FA5">
        <w:rPr>
          <w:rFonts w:asciiTheme="minorHAnsi" w:hAnsiTheme="minorHAnsi"/>
        </w:rPr>
        <w:t>a follow up of a key conclusion of our Istanbul session, notably that the EAA working groups should seek  to share their experiences,  and explore the potential for creating a network of overlapping interests and synergies - for example,  with common themes such as 'landscape'.  This Round Table</w:t>
      </w:r>
      <w:r w:rsidR="00237FF7">
        <w:rPr>
          <w:rFonts w:asciiTheme="minorHAnsi" w:hAnsiTheme="minorHAnsi"/>
        </w:rPr>
        <w:t xml:space="preserve"> had to be cancelled due to illness of the </w:t>
      </w:r>
      <w:r w:rsidR="00237FF7">
        <w:rPr>
          <w:rFonts w:asciiTheme="minorHAnsi" w:hAnsiTheme="minorHAnsi"/>
        </w:rPr>
        <w:lastRenderedPageBreak/>
        <w:t>lead-organiser</w:t>
      </w:r>
      <w:r w:rsidRPr="007F1FA5">
        <w:rPr>
          <w:rFonts w:asciiTheme="minorHAnsi" w:hAnsiTheme="minorHAnsi"/>
        </w:rPr>
        <w:t xml:space="preserve"> Jon Humble</w:t>
      </w:r>
      <w:r w:rsidR="00237FF7">
        <w:rPr>
          <w:rFonts w:asciiTheme="minorHAnsi" w:hAnsiTheme="minorHAnsi"/>
        </w:rPr>
        <w:t xml:space="preserve"> (together with</w:t>
      </w:r>
      <w:r w:rsidRPr="007F1FA5">
        <w:rPr>
          <w:rFonts w:asciiTheme="minorHAnsi" w:hAnsiTheme="minorHAnsi"/>
        </w:rPr>
        <w:t xml:space="preserve"> Karl Cordemans</w:t>
      </w:r>
      <w:r w:rsidR="00237FF7">
        <w:rPr>
          <w:rFonts w:asciiTheme="minorHAnsi" w:hAnsiTheme="minorHAnsi"/>
        </w:rPr>
        <w:t xml:space="preserve">). The RT was </w:t>
      </w:r>
      <w:r w:rsidRPr="007F1FA5">
        <w:rPr>
          <w:rFonts w:asciiTheme="minorHAnsi" w:hAnsiTheme="minorHAnsi"/>
        </w:rPr>
        <w:t xml:space="preserve">called </w:t>
      </w:r>
      <w:r w:rsidRPr="007F1FA5">
        <w:rPr>
          <w:rFonts w:asciiTheme="minorHAnsi" w:hAnsiTheme="minorHAnsi"/>
          <w:b/>
        </w:rPr>
        <w:t>Thinking Outside of Our Boxes - a round table for EAA working</w:t>
      </w:r>
      <w:r w:rsidRPr="007F1FA5">
        <w:rPr>
          <w:rFonts w:asciiTheme="minorHAnsi" w:hAnsiTheme="minorHAnsi"/>
          <w:b/>
          <w:bCs/>
          <w:lang w:val="en-US"/>
        </w:rPr>
        <w:t xml:space="preserve"> groups on shared experience, common themes and collaborative working</w:t>
      </w:r>
      <w:r w:rsidRPr="007F1FA5">
        <w:rPr>
          <w:rFonts w:asciiTheme="minorHAnsi" w:hAnsiTheme="minorHAnsi"/>
          <w:lang w:val="en-US"/>
        </w:rPr>
        <w:t xml:space="preserve">.  </w:t>
      </w:r>
    </w:p>
    <w:p w:rsidR="00F11944" w:rsidRDefault="006824C9" w:rsidP="001605D6">
      <w:pPr>
        <w:jc w:val="both"/>
        <w:rPr>
          <w:rFonts w:asciiTheme="minorHAnsi" w:hAnsiTheme="minorHAnsi"/>
        </w:rPr>
      </w:pPr>
      <w:r>
        <w:rPr>
          <w:rFonts w:asciiTheme="minorHAnsi" w:hAnsiTheme="minorHAnsi"/>
        </w:rPr>
        <w:t>Since Jon Humble sadly passed away in December 2015, our plan to postpone it to Vilnius 2016 will not take place.</w:t>
      </w:r>
    </w:p>
    <w:p w:rsidR="006824C9" w:rsidRDefault="006824C9" w:rsidP="001605D6">
      <w:pPr>
        <w:jc w:val="both"/>
        <w:rPr>
          <w:rFonts w:asciiTheme="minorHAnsi" w:hAnsiTheme="minorHAnsi"/>
        </w:rPr>
      </w:pPr>
      <w:r>
        <w:rPr>
          <w:rFonts w:asciiTheme="minorHAnsi" w:hAnsiTheme="minorHAnsi"/>
        </w:rPr>
        <w:t xml:space="preserve">However, our idea was recycled by Sophie </w:t>
      </w:r>
      <w:proofErr w:type="spellStart"/>
      <w:r>
        <w:rPr>
          <w:rFonts w:asciiTheme="minorHAnsi" w:hAnsiTheme="minorHAnsi"/>
        </w:rPr>
        <w:t>Hueglin</w:t>
      </w:r>
      <w:proofErr w:type="spellEnd"/>
      <w:r>
        <w:rPr>
          <w:rFonts w:asciiTheme="minorHAnsi" w:hAnsiTheme="minorHAnsi"/>
        </w:rPr>
        <w:t xml:space="preserve">, who will organise </w:t>
      </w:r>
      <w:r>
        <w:t>a Round Table</w:t>
      </w:r>
      <w:r w:rsidR="00EF5D98">
        <w:t xml:space="preserve"> in </w:t>
      </w:r>
      <w:proofErr w:type="spellStart"/>
      <w:r w:rsidR="00EF5D98">
        <w:t>Vlinius</w:t>
      </w:r>
      <w:proofErr w:type="spellEnd"/>
      <w:r>
        <w:t xml:space="preserve"> on 'Political Strategies for the EAA', together with Jean-Olivier </w:t>
      </w:r>
      <w:proofErr w:type="spellStart"/>
      <w:r>
        <w:t>Gransard</w:t>
      </w:r>
      <w:proofErr w:type="spellEnd"/>
      <w:r>
        <w:t xml:space="preserve">-Desmond and </w:t>
      </w:r>
      <w:proofErr w:type="spellStart"/>
      <w:r>
        <w:t>Raimund</w:t>
      </w:r>
      <w:proofErr w:type="spellEnd"/>
      <w:r>
        <w:t xml:space="preserve"> Karl. Our working group was invited for this, and Vince Holyoak will talk on behalf of the group about our experiences</w:t>
      </w:r>
      <w:r w:rsidR="00EF5D98">
        <w:t>.</w:t>
      </w:r>
    </w:p>
    <w:p w:rsidR="00EF5D98" w:rsidRPr="007F1FA5" w:rsidRDefault="00EF5D98" w:rsidP="001605D6">
      <w:pPr>
        <w:spacing w:after="0" w:line="100" w:lineRule="atLeast"/>
        <w:jc w:val="both"/>
        <w:rPr>
          <w:rFonts w:asciiTheme="minorHAnsi" w:hAnsiTheme="minorHAnsi"/>
          <w:color w:val="000000"/>
        </w:rPr>
      </w:pPr>
      <w:r w:rsidRPr="007F1FA5">
        <w:rPr>
          <w:rFonts w:asciiTheme="minorHAnsi" w:hAnsiTheme="minorHAnsi"/>
          <w:b/>
          <w:bCs/>
          <w:color w:val="000000"/>
          <w:u w:val="single"/>
        </w:rPr>
        <w:t>EAA Conference session 201</w:t>
      </w:r>
      <w:r>
        <w:rPr>
          <w:rFonts w:asciiTheme="minorHAnsi" w:hAnsiTheme="minorHAnsi"/>
          <w:b/>
          <w:bCs/>
          <w:color w:val="000000"/>
          <w:u w:val="single"/>
        </w:rPr>
        <w:t>6</w:t>
      </w:r>
    </w:p>
    <w:p w:rsidR="00237FF7" w:rsidRDefault="00237FF7" w:rsidP="001605D6">
      <w:pPr>
        <w:jc w:val="both"/>
        <w:rPr>
          <w:rFonts w:asciiTheme="minorHAnsi" w:hAnsiTheme="minorHAnsi"/>
        </w:rPr>
      </w:pPr>
    </w:p>
    <w:p w:rsidR="00EF5D98" w:rsidRDefault="001605D6" w:rsidP="001605D6">
      <w:pPr>
        <w:jc w:val="both"/>
        <w:rPr>
          <w:rFonts w:ascii="Verdana" w:hAnsi="Verdana"/>
          <w:sz w:val="20"/>
          <w:szCs w:val="20"/>
        </w:rPr>
      </w:pPr>
      <w:r>
        <w:rPr>
          <w:rFonts w:asciiTheme="minorHAnsi" w:hAnsiTheme="minorHAnsi"/>
        </w:rPr>
        <w:t xml:space="preserve">John Raven (Historic Scotland) and Karl </w:t>
      </w:r>
      <w:proofErr w:type="spellStart"/>
      <w:r>
        <w:rPr>
          <w:rFonts w:asciiTheme="minorHAnsi" w:hAnsiTheme="minorHAnsi"/>
        </w:rPr>
        <w:t>Cordemans</w:t>
      </w:r>
      <w:proofErr w:type="spellEnd"/>
      <w:r>
        <w:rPr>
          <w:rFonts w:asciiTheme="minorHAnsi" w:hAnsiTheme="minorHAnsi"/>
        </w:rPr>
        <w:t xml:space="preserve"> (VLM) will organise a </w:t>
      </w:r>
      <w:r>
        <w:rPr>
          <w:rFonts w:ascii="Verdana" w:hAnsi="Verdana"/>
          <w:sz w:val="20"/>
          <w:szCs w:val="20"/>
        </w:rPr>
        <w:t>session in Vilnius called ‘Papers and Round Table Discussion: Successful Partnerships: Recognizing and Improving Heritage Management in Landscape and Rural Land Use Policy and Practice’.</w:t>
      </w:r>
    </w:p>
    <w:p w:rsidR="001605D6" w:rsidRDefault="001605D6" w:rsidP="001605D6">
      <w:pPr>
        <w:jc w:val="both"/>
        <w:rPr>
          <w:rFonts w:asciiTheme="minorHAnsi" w:hAnsiTheme="minorHAnsi"/>
        </w:rPr>
      </w:pPr>
    </w:p>
    <w:p w:rsidR="00237FF7" w:rsidRPr="00534A94" w:rsidRDefault="009B107D" w:rsidP="00534A94">
      <w:pPr>
        <w:spacing w:after="0" w:line="100" w:lineRule="atLeast"/>
        <w:jc w:val="both"/>
        <w:rPr>
          <w:rFonts w:asciiTheme="minorHAnsi" w:hAnsiTheme="minorHAnsi"/>
          <w:b/>
          <w:bCs/>
          <w:color w:val="000000"/>
          <w:u w:val="single"/>
        </w:rPr>
      </w:pPr>
      <w:r w:rsidRPr="00534A94">
        <w:rPr>
          <w:rFonts w:asciiTheme="minorHAnsi" w:hAnsiTheme="minorHAnsi"/>
          <w:b/>
          <w:bCs/>
          <w:color w:val="000000"/>
          <w:u w:val="single"/>
        </w:rPr>
        <w:t xml:space="preserve">Future </w:t>
      </w:r>
    </w:p>
    <w:p w:rsidR="00F11944" w:rsidRDefault="00F11944">
      <w:pPr>
        <w:rPr>
          <w:rFonts w:asciiTheme="minorHAnsi" w:hAnsiTheme="minorHAnsi"/>
          <w:color w:val="000000"/>
        </w:rPr>
      </w:pPr>
    </w:p>
    <w:p w:rsidR="00F11944" w:rsidRPr="001605D6" w:rsidRDefault="00534A94" w:rsidP="001605D6">
      <w:r>
        <w:rPr>
          <w:rFonts w:asciiTheme="minorHAnsi" w:hAnsiTheme="minorHAnsi"/>
          <w:color w:val="000000"/>
        </w:rPr>
        <w:t>T</w:t>
      </w:r>
      <w:r w:rsidR="001605D6">
        <w:rPr>
          <w:rFonts w:asciiTheme="minorHAnsi" w:hAnsiTheme="minorHAnsi"/>
          <w:color w:val="000000"/>
        </w:rPr>
        <w:t>he Working group will continue to monitor the impact of European policy on heritage and to try to influence the decision making regarding this. We will try to broaden our geographical working field and actively seek collaboration by Member states in South and Eastern Europe.</w:t>
      </w:r>
    </w:p>
    <w:p w:rsidR="00F11944" w:rsidRPr="007F1FA5" w:rsidRDefault="00F11944">
      <w:pPr>
        <w:spacing w:after="0" w:line="100" w:lineRule="atLeast"/>
        <w:jc w:val="both"/>
        <w:rPr>
          <w:rFonts w:asciiTheme="minorHAnsi" w:hAnsiTheme="minorHAnsi"/>
          <w:b/>
          <w:bCs/>
          <w:color w:val="000000"/>
        </w:rPr>
      </w:pPr>
      <w:r w:rsidRPr="007F1FA5">
        <w:rPr>
          <w:rFonts w:asciiTheme="minorHAnsi" w:hAnsiTheme="minorHAnsi"/>
          <w:b/>
          <w:bCs/>
          <w:color w:val="000000"/>
        </w:rPr>
        <w:t>Karl Cordemans</w:t>
      </w:r>
    </w:p>
    <w:p w:rsidR="00F11944" w:rsidRPr="007F1FA5" w:rsidRDefault="00F11944">
      <w:pPr>
        <w:spacing w:after="0" w:line="100" w:lineRule="atLeast"/>
        <w:jc w:val="both"/>
        <w:rPr>
          <w:rFonts w:asciiTheme="minorHAnsi" w:hAnsiTheme="minorHAnsi"/>
          <w:b/>
          <w:bCs/>
          <w:color w:val="000000"/>
          <w:lang w:val="en-US"/>
        </w:rPr>
      </w:pPr>
      <w:r w:rsidRPr="007F1FA5">
        <w:rPr>
          <w:rFonts w:asciiTheme="minorHAnsi" w:hAnsiTheme="minorHAnsi"/>
          <w:b/>
          <w:bCs/>
          <w:color w:val="000000"/>
        </w:rPr>
        <w:t>Working Group Chair</w:t>
      </w:r>
    </w:p>
    <w:p w:rsidR="00F11944" w:rsidRPr="007F1FA5" w:rsidRDefault="00F11944">
      <w:pPr>
        <w:spacing w:after="0" w:line="100" w:lineRule="atLeast"/>
        <w:jc w:val="both"/>
        <w:rPr>
          <w:rFonts w:asciiTheme="minorHAnsi" w:hAnsiTheme="minorHAnsi"/>
          <w:b/>
          <w:bCs/>
          <w:color w:val="000000"/>
          <w:lang w:val="en-US"/>
        </w:rPr>
      </w:pPr>
      <w:r w:rsidRPr="007F1FA5">
        <w:rPr>
          <w:rFonts w:asciiTheme="minorHAnsi" w:hAnsiTheme="minorHAnsi"/>
          <w:b/>
          <w:bCs/>
          <w:color w:val="000000"/>
          <w:lang w:val="en-US"/>
        </w:rPr>
        <w:t>Archaeologist</w:t>
      </w:r>
    </w:p>
    <w:p w:rsidR="00F11944" w:rsidRPr="007F1FA5" w:rsidRDefault="00F11944">
      <w:pPr>
        <w:spacing w:after="0" w:line="100" w:lineRule="atLeast"/>
        <w:jc w:val="both"/>
        <w:rPr>
          <w:rFonts w:asciiTheme="minorHAnsi" w:hAnsiTheme="minorHAnsi"/>
          <w:b/>
          <w:bCs/>
          <w:lang w:val="nl-BE"/>
        </w:rPr>
      </w:pPr>
      <w:r w:rsidRPr="007F1FA5">
        <w:rPr>
          <w:rFonts w:asciiTheme="minorHAnsi" w:hAnsiTheme="minorHAnsi"/>
          <w:b/>
          <w:bCs/>
          <w:color w:val="000000"/>
          <w:lang w:val="nl-BE"/>
        </w:rPr>
        <w:t>Vlaamse Landmaatschappij</w:t>
      </w:r>
    </w:p>
    <w:p w:rsidR="00F11944" w:rsidRPr="007F1FA5" w:rsidRDefault="00F11944">
      <w:pPr>
        <w:spacing w:after="0" w:line="100" w:lineRule="atLeast"/>
        <w:jc w:val="both"/>
        <w:rPr>
          <w:rFonts w:asciiTheme="minorHAnsi" w:hAnsiTheme="minorHAnsi"/>
          <w:lang w:val="nl-BE"/>
        </w:rPr>
      </w:pPr>
      <w:r w:rsidRPr="007F1FA5">
        <w:rPr>
          <w:rFonts w:asciiTheme="minorHAnsi" w:hAnsiTheme="minorHAnsi"/>
          <w:b/>
          <w:bCs/>
          <w:lang w:val="nl-BE"/>
        </w:rPr>
        <w:t> </w:t>
      </w:r>
    </w:p>
    <w:p w:rsidR="00F11944" w:rsidRPr="007F1FA5" w:rsidRDefault="00F235BD">
      <w:pPr>
        <w:jc w:val="both"/>
        <w:rPr>
          <w:rFonts w:asciiTheme="minorHAnsi" w:hAnsiTheme="minorHAnsi"/>
          <w:lang w:val="nl-BE"/>
        </w:rPr>
      </w:pPr>
      <w:hyperlink r:id="rId7" w:history="1">
        <w:r w:rsidR="00F11944" w:rsidRPr="007F1FA5">
          <w:rPr>
            <w:rStyle w:val="Hyperlink"/>
            <w:rFonts w:asciiTheme="minorHAnsi" w:hAnsiTheme="minorHAnsi" w:cs="Calibri"/>
            <w:b/>
            <w:bCs/>
            <w:lang w:val="nl-BE"/>
          </w:rPr>
          <w:t>karl.cordemans@vlm.be</w:t>
        </w:r>
      </w:hyperlink>
    </w:p>
    <w:p w:rsidR="00F11944" w:rsidRPr="007F1FA5" w:rsidRDefault="00F11944">
      <w:pPr>
        <w:rPr>
          <w:rFonts w:asciiTheme="minorHAnsi" w:hAnsiTheme="minorHAnsi"/>
          <w:lang w:val="nl-BE"/>
        </w:rPr>
      </w:pPr>
    </w:p>
    <w:sectPr w:rsidR="00F11944" w:rsidRPr="007F1FA5" w:rsidSect="001D12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BD" w:rsidRDefault="00F235BD">
      <w:pPr>
        <w:spacing w:after="0" w:line="240" w:lineRule="auto"/>
      </w:pPr>
      <w:r>
        <w:separator/>
      </w:r>
    </w:p>
  </w:endnote>
  <w:endnote w:type="continuationSeparator" w:id="0">
    <w:p w:rsidR="00F235BD" w:rsidRDefault="00F2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Bold">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4" w:rsidRDefault="00F119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4" w:rsidRDefault="00F119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4" w:rsidRDefault="00F119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BD" w:rsidRDefault="00F235BD">
      <w:pPr>
        <w:spacing w:after="0" w:line="240" w:lineRule="auto"/>
      </w:pPr>
      <w:r>
        <w:separator/>
      </w:r>
    </w:p>
  </w:footnote>
  <w:footnote w:type="continuationSeparator" w:id="0">
    <w:p w:rsidR="00F235BD" w:rsidRDefault="00F235BD">
      <w:pPr>
        <w:spacing w:after="0" w:line="240" w:lineRule="auto"/>
      </w:pPr>
      <w:r>
        <w:continuationSeparator/>
      </w:r>
    </w:p>
  </w:footnote>
  <w:footnote w:id="1">
    <w:p w:rsidR="00F11944" w:rsidRDefault="00F11944">
      <w:r>
        <w:rPr>
          <w:rStyle w:val="FootnoteCharacters"/>
        </w:rPr>
        <w:footnoteRef/>
      </w:r>
      <w:r>
        <w:br w:type="page"/>
      </w:r>
      <w:r>
        <w:rPr>
          <w:rStyle w:val="Voetnootmarkering1"/>
          <w:rFonts w:cs="Calibri"/>
          <w:sz w:val="16"/>
          <w:szCs w:val="16"/>
        </w:rPr>
        <w:tab/>
      </w:r>
      <w:r>
        <w:rPr>
          <w:sz w:val="16"/>
          <w:szCs w:val="16"/>
        </w:rPr>
        <w:t xml:space="preserve"> Belgium, the Czech Republic, Denmark, Eire</w:t>
      </w:r>
      <w:r w:rsidR="00B250D2">
        <w:rPr>
          <w:sz w:val="16"/>
          <w:szCs w:val="16"/>
        </w:rPr>
        <w:t>/Ireland</w:t>
      </w:r>
      <w:r>
        <w:rPr>
          <w:sz w:val="16"/>
          <w:szCs w:val="16"/>
        </w:rPr>
        <w:t xml:space="preserve">, England, Finland, Germany, Hungary, </w:t>
      </w:r>
      <w:r w:rsidR="00EF5D98">
        <w:rPr>
          <w:sz w:val="16"/>
          <w:szCs w:val="16"/>
        </w:rPr>
        <w:t xml:space="preserve">Lithuania, </w:t>
      </w:r>
      <w:r>
        <w:rPr>
          <w:sz w:val="16"/>
          <w:szCs w:val="16"/>
        </w:rPr>
        <w:t xml:space="preserve">the Netherlands, Northern Ireland, Norway, Poland, </w:t>
      </w:r>
      <w:r w:rsidR="008C3E0E">
        <w:rPr>
          <w:sz w:val="16"/>
          <w:szCs w:val="16"/>
        </w:rPr>
        <w:t xml:space="preserve">Romania, </w:t>
      </w:r>
      <w:r>
        <w:rPr>
          <w:sz w:val="16"/>
          <w:szCs w:val="16"/>
        </w:rPr>
        <w:t xml:space="preserve">Scotland, Sweden, Slovenia, Slovakia, Wales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4" w:rsidRDefault="00F119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4" w:rsidRDefault="00F119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4" w:rsidRDefault="00F11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E3D5887"/>
    <w:multiLevelType w:val="hybridMultilevel"/>
    <w:tmpl w:val="F05ED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2"/>
    <w:rsid w:val="001605D6"/>
    <w:rsid w:val="001B4164"/>
    <w:rsid w:val="001D128C"/>
    <w:rsid w:val="00237FF7"/>
    <w:rsid w:val="002F1251"/>
    <w:rsid w:val="003E6907"/>
    <w:rsid w:val="00534A94"/>
    <w:rsid w:val="00557DD1"/>
    <w:rsid w:val="00604758"/>
    <w:rsid w:val="006824C9"/>
    <w:rsid w:val="007242A5"/>
    <w:rsid w:val="007261D2"/>
    <w:rsid w:val="007870AD"/>
    <w:rsid w:val="007F1FA5"/>
    <w:rsid w:val="008C3E0E"/>
    <w:rsid w:val="009B107D"/>
    <w:rsid w:val="00A432F7"/>
    <w:rsid w:val="00B12B31"/>
    <w:rsid w:val="00B250D2"/>
    <w:rsid w:val="00B52F16"/>
    <w:rsid w:val="00BC4F30"/>
    <w:rsid w:val="00CC7E01"/>
    <w:rsid w:val="00CE21B9"/>
    <w:rsid w:val="00CE4E29"/>
    <w:rsid w:val="00CE5B7C"/>
    <w:rsid w:val="00DA1F90"/>
    <w:rsid w:val="00EF5D98"/>
    <w:rsid w:val="00F11944"/>
    <w:rsid w:val="00F235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CB8484E-7E26-4DAA-8928-895146EE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28C"/>
    <w:pPr>
      <w:suppressAutoHyphens/>
      <w:spacing w:after="200" w:line="276" w:lineRule="auto"/>
    </w:pPr>
    <w:rPr>
      <w:rFonts w:ascii="Calibri" w:eastAsia="Calibri" w:hAnsi="Calibri" w:cs="Calibri"/>
      <w:sz w:val="22"/>
      <w:szCs w:val="22"/>
      <w:lang w:val="en-GB" w:eastAsia="ar-SA"/>
    </w:rPr>
  </w:style>
  <w:style w:type="paragraph" w:styleId="Kop1">
    <w:name w:val="heading 1"/>
    <w:basedOn w:val="Standaard"/>
    <w:next w:val="Plattetekst"/>
    <w:qFormat/>
    <w:rsid w:val="001D128C"/>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sid w:val="001D128C"/>
    <w:rPr>
      <w:rFonts w:ascii="Times New Roman" w:hAnsi="Times New Roman" w:cs="Times New Roman"/>
      <w:b/>
      <w:bCs/>
      <w:kern w:val="1"/>
      <w:sz w:val="48"/>
      <w:szCs w:val="48"/>
    </w:rPr>
  </w:style>
  <w:style w:type="character" w:styleId="Hyperlink">
    <w:name w:val="Hyperlink"/>
    <w:basedOn w:val="Standaardalinea-lettertype"/>
    <w:rsid w:val="001D128C"/>
    <w:rPr>
      <w:rFonts w:cs="Times New Roman"/>
      <w:color w:val="0000FF"/>
      <w:u w:val="single"/>
    </w:rPr>
  </w:style>
  <w:style w:type="character" w:customStyle="1" w:styleId="BallontekstChar">
    <w:name w:val="Ballontekst Char"/>
    <w:basedOn w:val="Standaardalinea-lettertype"/>
    <w:rsid w:val="001D128C"/>
    <w:rPr>
      <w:rFonts w:ascii="Tahoma" w:hAnsi="Tahoma" w:cs="Tahoma"/>
      <w:sz w:val="16"/>
      <w:szCs w:val="16"/>
    </w:rPr>
  </w:style>
  <w:style w:type="character" w:customStyle="1" w:styleId="Plattetekst2Char">
    <w:name w:val="Platte tekst 2 Char"/>
    <w:basedOn w:val="Standaardalinea-lettertype"/>
    <w:rsid w:val="001D128C"/>
    <w:rPr>
      <w:rFonts w:ascii="Arial" w:hAnsi="Arial" w:cs="Arial"/>
      <w:color w:val="000000"/>
      <w:lang w:eastAsia="ar-SA" w:bidi="ar-SA"/>
    </w:rPr>
  </w:style>
  <w:style w:type="character" w:customStyle="1" w:styleId="KoptekstChar">
    <w:name w:val="Koptekst Char"/>
    <w:basedOn w:val="Standaardalinea-lettertype"/>
    <w:rsid w:val="001D128C"/>
    <w:rPr>
      <w:rFonts w:cs="Times New Roman"/>
    </w:rPr>
  </w:style>
  <w:style w:type="character" w:customStyle="1" w:styleId="VoettekstChar">
    <w:name w:val="Voettekst Char"/>
    <w:basedOn w:val="Standaardalinea-lettertype"/>
    <w:rsid w:val="001D128C"/>
    <w:rPr>
      <w:rFonts w:cs="Times New Roman"/>
    </w:rPr>
  </w:style>
  <w:style w:type="character" w:styleId="Zwaar">
    <w:name w:val="Strong"/>
    <w:basedOn w:val="Standaardalinea-lettertype"/>
    <w:qFormat/>
    <w:rsid w:val="001D128C"/>
    <w:rPr>
      <w:rFonts w:cs="Times New Roman"/>
      <w:b/>
      <w:bCs/>
    </w:rPr>
  </w:style>
  <w:style w:type="character" w:styleId="Nadruk">
    <w:name w:val="Emphasis"/>
    <w:basedOn w:val="Standaardalinea-lettertype"/>
    <w:qFormat/>
    <w:rsid w:val="001D128C"/>
    <w:rPr>
      <w:rFonts w:cs="Times New Roman"/>
      <w:i/>
      <w:iCs/>
    </w:rPr>
  </w:style>
  <w:style w:type="character" w:customStyle="1" w:styleId="FootnoteTextChar">
    <w:name w:val="Footnote Text Char"/>
    <w:basedOn w:val="Standaardalinea-lettertype"/>
    <w:rsid w:val="001D128C"/>
    <w:rPr>
      <w:rFonts w:cs="Times New Roman"/>
      <w:sz w:val="20"/>
      <w:szCs w:val="20"/>
    </w:rPr>
  </w:style>
  <w:style w:type="character" w:customStyle="1" w:styleId="VoetnoottekstChar">
    <w:name w:val="Voetnoottekst Char"/>
    <w:basedOn w:val="Standaardalinea-lettertype"/>
    <w:rsid w:val="001D128C"/>
    <w:rPr>
      <w:rFonts w:ascii="Arial" w:hAnsi="Arial" w:cs="Arial"/>
      <w:sz w:val="24"/>
      <w:szCs w:val="24"/>
      <w:lang w:val="en-GB"/>
    </w:rPr>
  </w:style>
  <w:style w:type="character" w:customStyle="1" w:styleId="Voetnootmarkering1">
    <w:name w:val="Voetnootmarkering1"/>
    <w:basedOn w:val="Standaardalinea-lettertype"/>
    <w:rsid w:val="001D128C"/>
    <w:rPr>
      <w:rFonts w:cs="Times New Roman"/>
      <w:vertAlign w:val="superscript"/>
    </w:rPr>
  </w:style>
  <w:style w:type="character" w:styleId="GevolgdeHyperlink">
    <w:name w:val="FollowedHyperlink"/>
    <w:basedOn w:val="Standaardalinea-lettertype"/>
    <w:rsid w:val="001D128C"/>
    <w:rPr>
      <w:rFonts w:cs="Times New Roman"/>
      <w:color w:val="800080"/>
      <w:u w:val="single"/>
    </w:rPr>
  </w:style>
  <w:style w:type="character" w:customStyle="1" w:styleId="apple-converted-space">
    <w:name w:val="apple-converted-space"/>
    <w:basedOn w:val="Standaardalinea-lettertype"/>
    <w:rsid w:val="001D128C"/>
  </w:style>
  <w:style w:type="character" w:customStyle="1" w:styleId="ListLabel1">
    <w:name w:val="ListLabel 1"/>
    <w:rsid w:val="001D128C"/>
    <w:rPr>
      <w:sz w:val="20"/>
    </w:rPr>
  </w:style>
  <w:style w:type="character" w:customStyle="1" w:styleId="ListLabel2">
    <w:name w:val="ListLabel 2"/>
    <w:rsid w:val="001D128C"/>
    <w:rPr>
      <w:rFonts w:eastAsia="Times New Roman"/>
    </w:rPr>
  </w:style>
  <w:style w:type="character" w:customStyle="1" w:styleId="ListLabel3">
    <w:name w:val="ListLabel 3"/>
    <w:rsid w:val="001D128C"/>
    <w:rPr>
      <w:rFonts w:cs="Courier New"/>
    </w:rPr>
  </w:style>
  <w:style w:type="character" w:customStyle="1" w:styleId="FootnoteCharacters">
    <w:name w:val="Footnote Characters"/>
    <w:rsid w:val="001D128C"/>
  </w:style>
  <w:style w:type="character" w:styleId="Voetnootmarkering">
    <w:name w:val="footnote reference"/>
    <w:rsid w:val="001D128C"/>
    <w:rPr>
      <w:vertAlign w:val="superscript"/>
    </w:rPr>
  </w:style>
  <w:style w:type="character" w:styleId="Eindnootmarkering">
    <w:name w:val="endnote reference"/>
    <w:rsid w:val="001D128C"/>
    <w:rPr>
      <w:vertAlign w:val="superscript"/>
    </w:rPr>
  </w:style>
  <w:style w:type="character" w:customStyle="1" w:styleId="EndnoteCharacters">
    <w:name w:val="Endnote Characters"/>
    <w:rsid w:val="001D128C"/>
  </w:style>
  <w:style w:type="paragraph" w:customStyle="1" w:styleId="Heading">
    <w:name w:val="Heading"/>
    <w:basedOn w:val="Standaard"/>
    <w:next w:val="Plattetekst"/>
    <w:rsid w:val="001D128C"/>
    <w:pPr>
      <w:keepNext/>
      <w:spacing w:before="240" w:after="120"/>
    </w:pPr>
    <w:rPr>
      <w:rFonts w:ascii="Arial" w:eastAsia="Microsoft YaHei" w:hAnsi="Arial" w:cs="Mangal"/>
      <w:sz w:val="28"/>
      <w:szCs w:val="28"/>
    </w:rPr>
  </w:style>
  <w:style w:type="paragraph" w:styleId="Plattetekst">
    <w:name w:val="Body Text"/>
    <w:basedOn w:val="Standaard"/>
    <w:rsid w:val="001D128C"/>
    <w:pPr>
      <w:spacing w:after="120"/>
    </w:pPr>
  </w:style>
  <w:style w:type="paragraph" w:styleId="Lijst">
    <w:name w:val="List"/>
    <w:basedOn w:val="Plattetekst"/>
    <w:rsid w:val="001D128C"/>
    <w:rPr>
      <w:rFonts w:cs="Mangal"/>
    </w:rPr>
  </w:style>
  <w:style w:type="paragraph" w:styleId="Bijschrift">
    <w:name w:val="caption"/>
    <w:basedOn w:val="Standaard"/>
    <w:qFormat/>
    <w:rsid w:val="001D128C"/>
    <w:pPr>
      <w:suppressLineNumbers/>
      <w:spacing w:before="120" w:after="120"/>
    </w:pPr>
    <w:rPr>
      <w:rFonts w:cs="Mangal"/>
      <w:i/>
      <w:iCs/>
      <w:sz w:val="24"/>
      <w:szCs w:val="24"/>
    </w:rPr>
  </w:style>
  <w:style w:type="paragraph" w:customStyle="1" w:styleId="Index">
    <w:name w:val="Index"/>
    <w:basedOn w:val="Standaard"/>
    <w:rsid w:val="001D128C"/>
    <w:pPr>
      <w:suppressLineNumbers/>
    </w:pPr>
    <w:rPr>
      <w:rFonts w:cs="Mangal"/>
    </w:rPr>
  </w:style>
  <w:style w:type="paragraph" w:styleId="Lijstalinea">
    <w:name w:val="List Paragraph"/>
    <w:basedOn w:val="Standaard"/>
    <w:qFormat/>
    <w:rsid w:val="001D128C"/>
    <w:pPr>
      <w:ind w:left="720"/>
    </w:pPr>
  </w:style>
  <w:style w:type="paragraph" w:styleId="Normaalweb">
    <w:name w:val="Normal (Web)"/>
    <w:basedOn w:val="Standaard"/>
    <w:rsid w:val="001D128C"/>
    <w:pPr>
      <w:spacing w:before="100" w:after="100" w:line="100" w:lineRule="atLeast"/>
    </w:pPr>
    <w:rPr>
      <w:rFonts w:ascii="Times New Roman" w:eastAsia="Times New Roman" w:hAnsi="Times New Roman" w:cs="Times New Roman"/>
      <w:sz w:val="20"/>
      <w:szCs w:val="20"/>
    </w:rPr>
  </w:style>
  <w:style w:type="paragraph" w:styleId="Ballontekst">
    <w:name w:val="Balloon Text"/>
    <w:basedOn w:val="Standaard"/>
    <w:rsid w:val="001D128C"/>
    <w:pPr>
      <w:spacing w:after="0" w:line="100" w:lineRule="atLeast"/>
    </w:pPr>
    <w:rPr>
      <w:rFonts w:ascii="Tahoma" w:hAnsi="Tahoma" w:cs="Tahoma"/>
      <w:sz w:val="16"/>
      <w:szCs w:val="16"/>
    </w:rPr>
  </w:style>
  <w:style w:type="paragraph" w:styleId="Plattetekst2">
    <w:name w:val="Body Text 2"/>
    <w:basedOn w:val="Standaard"/>
    <w:rsid w:val="001D128C"/>
    <w:pPr>
      <w:spacing w:after="0" w:line="100" w:lineRule="atLeast"/>
    </w:pPr>
    <w:rPr>
      <w:rFonts w:ascii="Arial" w:eastAsia="Times New Roman" w:hAnsi="Arial" w:cs="Arial"/>
      <w:color w:val="000000"/>
    </w:rPr>
  </w:style>
  <w:style w:type="paragraph" w:styleId="Koptekst">
    <w:name w:val="header"/>
    <w:basedOn w:val="Standaard"/>
    <w:rsid w:val="001D128C"/>
    <w:pPr>
      <w:suppressLineNumbers/>
      <w:tabs>
        <w:tab w:val="center" w:pos="4513"/>
        <w:tab w:val="right" w:pos="9026"/>
      </w:tabs>
      <w:spacing w:after="0" w:line="100" w:lineRule="atLeast"/>
    </w:pPr>
  </w:style>
  <w:style w:type="paragraph" w:styleId="Voettekst">
    <w:name w:val="footer"/>
    <w:basedOn w:val="Standaard"/>
    <w:rsid w:val="001D128C"/>
    <w:pPr>
      <w:suppressLineNumbers/>
      <w:tabs>
        <w:tab w:val="center" w:pos="4513"/>
        <w:tab w:val="right" w:pos="9026"/>
      </w:tabs>
      <w:spacing w:after="0" w:line="100" w:lineRule="atLeast"/>
    </w:pPr>
  </w:style>
  <w:style w:type="paragraph" w:customStyle="1" w:styleId="msolistparagraph0">
    <w:name w:val="msolistparagraph"/>
    <w:basedOn w:val="Standaard"/>
    <w:rsid w:val="001D128C"/>
    <w:pPr>
      <w:spacing w:after="0" w:line="100" w:lineRule="atLeast"/>
    </w:pPr>
    <w:rPr>
      <w:sz w:val="24"/>
      <w:szCs w:val="24"/>
    </w:rPr>
  </w:style>
  <w:style w:type="paragraph" w:customStyle="1" w:styleId="Voetnoottekst1">
    <w:name w:val="Voetnoottekst1"/>
    <w:basedOn w:val="Standaard"/>
    <w:rsid w:val="001D128C"/>
    <w:pPr>
      <w:spacing w:after="0" w:line="100" w:lineRule="atLeast"/>
    </w:pPr>
    <w:rPr>
      <w:rFonts w:ascii="Arial" w:hAnsi="Arial" w:cs="Arial"/>
      <w:sz w:val="24"/>
      <w:szCs w:val="24"/>
    </w:rPr>
  </w:style>
  <w:style w:type="paragraph" w:styleId="Voetnoottekst">
    <w:name w:val="footnote text"/>
    <w:basedOn w:val="Standaard"/>
    <w:rsid w:val="001D128C"/>
    <w:pPr>
      <w:suppressLineNumbers/>
      <w:ind w:left="283" w:hanging="283"/>
    </w:pPr>
    <w:rPr>
      <w:sz w:val="20"/>
      <w:szCs w:val="20"/>
    </w:rPr>
  </w:style>
  <w:style w:type="character" w:styleId="Verwijzingopmerking">
    <w:name w:val="annotation reference"/>
    <w:basedOn w:val="Standaardalinea-lettertype"/>
    <w:uiPriority w:val="99"/>
    <w:semiHidden/>
    <w:unhideWhenUsed/>
    <w:rsid w:val="00B250D2"/>
    <w:rPr>
      <w:sz w:val="16"/>
      <w:szCs w:val="16"/>
    </w:rPr>
  </w:style>
  <w:style w:type="paragraph" w:styleId="Tekstopmerking">
    <w:name w:val="annotation text"/>
    <w:basedOn w:val="Standaard"/>
    <w:link w:val="TekstopmerkingChar"/>
    <w:uiPriority w:val="99"/>
    <w:semiHidden/>
    <w:unhideWhenUsed/>
    <w:rsid w:val="00B250D2"/>
    <w:rPr>
      <w:sz w:val="20"/>
      <w:szCs w:val="20"/>
    </w:rPr>
  </w:style>
  <w:style w:type="character" w:customStyle="1" w:styleId="TekstopmerkingChar">
    <w:name w:val="Tekst opmerking Char"/>
    <w:basedOn w:val="Standaardalinea-lettertype"/>
    <w:link w:val="Tekstopmerking"/>
    <w:uiPriority w:val="99"/>
    <w:semiHidden/>
    <w:rsid w:val="00B250D2"/>
    <w:rPr>
      <w:rFonts w:ascii="Calibri" w:eastAsia="Calibri" w:hAnsi="Calibri" w:cs="Calibri"/>
      <w:lang w:val="en-GB" w:eastAsia="ar-SA"/>
    </w:rPr>
  </w:style>
  <w:style w:type="paragraph" w:styleId="Onderwerpvanopmerking">
    <w:name w:val="annotation subject"/>
    <w:basedOn w:val="Tekstopmerking"/>
    <w:next w:val="Tekstopmerking"/>
    <w:link w:val="OnderwerpvanopmerkingChar"/>
    <w:uiPriority w:val="99"/>
    <w:semiHidden/>
    <w:unhideWhenUsed/>
    <w:rsid w:val="00B250D2"/>
    <w:rPr>
      <w:b/>
      <w:bCs/>
    </w:rPr>
  </w:style>
  <w:style w:type="character" w:customStyle="1" w:styleId="OnderwerpvanopmerkingChar">
    <w:name w:val="Onderwerp van opmerking Char"/>
    <w:basedOn w:val="TekstopmerkingChar"/>
    <w:link w:val="Onderwerpvanopmerking"/>
    <w:uiPriority w:val="99"/>
    <w:semiHidden/>
    <w:rsid w:val="00B250D2"/>
    <w:rPr>
      <w:rFonts w:ascii="Calibri" w:eastAsia="Calibri" w:hAnsi="Calibri" w:cs="Calibri"/>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156">
      <w:bodyDiv w:val="1"/>
      <w:marLeft w:val="0"/>
      <w:marRight w:val="0"/>
      <w:marTop w:val="0"/>
      <w:marBottom w:val="0"/>
      <w:divBdr>
        <w:top w:val="none" w:sz="0" w:space="0" w:color="auto"/>
        <w:left w:val="none" w:sz="0" w:space="0" w:color="auto"/>
        <w:bottom w:val="none" w:sz="0" w:space="0" w:color="auto"/>
        <w:right w:val="none" w:sz="0" w:space="0" w:color="auto"/>
      </w:divBdr>
    </w:div>
    <w:div w:id="6598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ve.trow@english-heritag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EAA and EAC Joint Working Group on Farming, Forestry and Rural Land Management</vt:lpstr>
      <vt:lpstr>EAA and EAC Joint Working Group on Farming, Forestry and Rural Land Management</vt:lpstr>
    </vt:vector>
  </TitlesOfParts>
  <Company>Department of Agriculture</Company>
  <LinksUpToDate>false</LinksUpToDate>
  <CharactersWithSpaces>5583</CharactersWithSpaces>
  <SharedDoc>false</SharedDoc>
  <HLinks>
    <vt:vector size="6" baseType="variant">
      <vt:variant>
        <vt:i4>6488091</vt:i4>
      </vt:variant>
      <vt:variant>
        <vt:i4>0</vt:i4>
      </vt:variant>
      <vt:variant>
        <vt:i4>0</vt:i4>
      </vt:variant>
      <vt:variant>
        <vt:i4>5</vt:i4>
      </vt:variant>
      <vt:variant>
        <vt:lpwstr>mailto:steve.trow@english-heritage.org.uk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 and EAC Joint Working Group on Farming, Forestry and Rural Land Management</dc:title>
  <dc:creator>Karl.Cordemans@vlm.be</dc:creator>
  <cp:lastModifiedBy>Djurra Scharff</cp:lastModifiedBy>
  <cp:revision>2</cp:revision>
  <cp:lastPrinted>2011-03-15T10:15:00Z</cp:lastPrinted>
  <dcterms:created xsi:type="dcterms:W3CDTF">2016-03-22T15:01:00Z</dcterms:created>
  <dcterms:modified xsi:type="dcterms:W3CDTF">2016-03-22T15:01:00Z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KÖH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